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52009">
        <w:trPr>
          <w:trHeight w:val="2269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2A36CC7" wp14:editId="329109C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5FE15" wp14:editId="6F2159D9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Вам необходимо выйти, оденьтесь 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холодовыми</w:t>
      </w:r>
      <w:proofErr w:type="spell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натирать отмороженные участки тела жиром, так как это 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 кожное дыхание и препятствует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выводу из пор продуктов распада поражённых тканей.</w:t>
      </w:r>
    </w:p>
    <w:p w:rsidR="00EE0192" w:rsidRPr="0073469B" w:rsidRDefault="00EE0192" w:rsidP="00734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hAnsi="Times New Roman" w:cs="Times New Roman"/>
          <w:sz w:val="24"/>
          <w:szCs w:val="24"/>
        </w:rPr>
        <w:t xml:space="preserve">Будьте </w:t>
      </w:r>
      <w:proofErr w:type="gramStart"/>
      <w:r w:rsidRPr="0073469B">
        <w:rPr>
          <w:rFonts w:ascii="Times New Roman" w:hAnsi="Times New Roman" w:cs="Times New Roman"/>
          <w:sz w:val="24"/>
          <w:szCs w:val="24"/>
        </w:rPr>
        <w:t>внимательны и осторожны</w:t>
      </w:r>
      <w:proofErr w:type="gramEnd"/>
      <w:r w:rsidRPr="0073469B">
        <w:rPr>
          <w:rFonts w:ascii="Times New Roman" w:hAnsi="Times New Roman" w:cs="Times New Roman"/>
          <w:sz w:val="24"/>
          <w:szCs w:val="24"/>
        </w:rPr>
        <w:t xml:space="preserve">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D29A2"/>
    <w:rsid w:val="004F267D"/>
    <w:rsid w:val="006C4479"/>
    <w:rsid w:val="0073469B"/>
    <w:rsid w:val="0086539A"/>
    <w:rsid w:val="00915759"/>
    <w:rsid w:val="00BB66DF"/>
    <w:rsid w:val="00CA7913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CC27-D82D-4993-81D6-CF7435DD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Курбанова Зайнаб Абулмуслимовна</cp:lastModifiedBy>
  <cp:revision>5</cp:revision>
  <cp:lastPrinted>2020-01-13T07:52:00Z</cp:lastPrinted>
  <dcterms:created xsi:type="dcterms:W3CDTF">2021-12-13T08:00:00Z</dcterms:created>
  <dcterms:modified xsi:type="dcterms:W3CDTF">2024-11-07T09:11:00Z</dcterms:modified>
</cp:coreProperties>
</file>